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Saudi-Specific Annex (SSA)</w:t>
      </w:r>
    </w:p>
    <w:p>
      <w:r>
        <w:rPr>
          <w:i/>
          <w:color w:val="55676F"/>
          <w:sz w:val="18"/>
        </w:rPr>
        <w:t>Structure of SFDA Guideline on Good Pharmacovigilance Practices (GVP), Version 4.0 (DS-G-008-V4.0/150527), section V.B.10.9.1, pages 136–142. Not an official SFDA template — check the current guideline: https://www.sfda.gov.sa/sites/default/files/2025-08/Drug-GVP4.pdf</w:t>
      </w:r>
    </w:p>
    <w:p>
      <w:pPr>
        <w:pStyle w:val="Heading1"/>
      </w:pPr>
      <w:r>
        <w:t>1. Product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Active ingredient(s):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Product name (s):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Marketing Authorization Holder (MAH):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SSA version: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Related EU-RMP version*:</w:t>
            </w:r>
          </w:p>
        </w:tc>
        <w:tc>
          <w:tcPr>
            <w:tcW w:type="dxa" w:w="4320"/>
          </w:tcPr>
          <w:p/>
        </w:tc>
      </w:tr>
    </w:tbl>
    <w:p>
      <w:r>
        <w:rPr>
          <w:i/>
        </w:rPr>
        <w:t>*Can be changed to ‘core’ or ‘global’ RMP if no EU-RMP is available.</w:t>
      </w:r>
    </w:p>
    <w:p>
      <w:pPr>
        <w:pStyle w:val="Heading1"/>
      </w:pPr>
      <w:r>
        <w:t>2. Safety specification</w:t>
      </w:r>
    </w:p>
    <w:p>
      <w:pPr>
        <w:pStyle w:val="Heading2"/>
      </w:pPr>
      <w:r>
        <w:t>2.1. Epidemiology of the indication(s) and target population(s) in Saudi Arabia</w:t>
      </w:r>
    </w:p>
    <w:p>
      <w:r>
        <w:rPr>
          <w:i/>
          <w:color w:val="55676F"/>
        </w:rPr>
        <w:t>[See GVP v4.0, page 136]</w:t>
      </w:r>
    </w:p>
    <w:p>
      <w:pPr>
        <w:pStyle w:val="Heading2"/>
      </w:pPr>
      <w:r>
        <w:t>2.2. Saudi-specific safety concerns</w:t>
      </w:r>
    </w:p>
    <w:p>
      <w:r>
        <w:rPr>
          <w:i/>
          <w:color w:val="55676F"/>
        </w:rPr>
        <w:t>[See GVP v4.0, page 136]</w:t>
      </w:r>
    </w:p>
    <w:p>
      <w:pPr>
        <w:pStyle w:val="Heading1"/>
      </w:pPr>
      <w:r>
        <w:t>3. Pharmacovigilance Plan</w:t>
      </w:r>
    </w:p>
    <w:p>
      <w:pPr>
        <w:pStyle w:val="Heading2"/>
      </w:pPr>
      <w:r>
        <w:t>3.1 Routine Pharmacovigilance activities in Saudi Arabia</w:t>
      </w:r>
    </w:p>
    <w:p>
      <w:r>
        <w:rPr>
          <w:i/>
          <w:color w:val="55676F"/>
        </w:rPr>
        <w:t>[See GVP v4.0, page 136]</w:t>
      </w:r>
    </w:p>
    <w:p>
      <w:pPr>
        <w:pStyle w:val="Heading2"/>
      </w:pPr>
      <w:r>
        <w:t>3.2 Additional Pharmacovigilance activities in Saudi Arabia</w:t>
      </w:r>
    </w:p>
    <w:p>
      <w:r>
        <w:rPr>
          <w:i/>
          <w:color w:val="55676F"/>
        </w:rPr>
        <w:t>[See GVP v4.0, page 136]</w:t>
      </w:r>
    </w:p>
    <w:p>
      <w:r>
        <w:rPr>
          <w:b/>
        </w:rPr>
        <w:t>Table 1: Summary table of additional pharmacovigilance activities in Saudi Arabia: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Study and status</w:t>
            </w:r>
          </w:p>
        </w:tc>
        <w:tc>
          <w:tcPr>
            <w:tcW w:type="dxa" w:w="1728"/>
          </w:tcPr>
          <w:p>
            <w:r>
              <w:rPr>
                <w:b/>
              </w:rPr>
              <w:t>Objectives</w:t>
            </w:r>
          </w:p>
        </w:tc>
        <w:tc>
          <w:tcPr>
            <w:tcW w:type="dxa" w:w="1728"/>
          </w:tcPr>
          <w:p>
            <w:r>
              <w:rPr>
                <w:b/>
              </w:rPr>
              <w:t>Safety concerns addressed</w:t>
            </w:r>
          </w:p>
        </w:tc>
        <w:tc>
          <w:tcPr>
            <w:tcW w:type="dxa" w:w="1728"/>
          </w:tcPr>
          <w:p>
            <w:r>
              <w:rPr>
                <w:b/>
              </w:rPr>
              <w:t>Study location; Saudi patients included in the study?</w:t>
            </w:r>
          </w:p>
        </w:tc>
        <w:tc>
          <w:tcPr>
            <w:tcW w:type="dxa" w:w="1728"/>
          </w:tcPr>
          <w:p>
            <w:r>
              <w:rPr>
                <w:b/>
              </w:rPr>
              <w:t>Planned date for submission of (interim and) final results</w:t>
            </w:r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>
      <w:r>
        <w:rPr>
          <w:i/>
          <w:color w:val="55676F"/>
        </w:rPr>
        <w:t>[See GVP v4.0, page 137]</w:t>
      </w:r>
    </w:p>
    <w:p>
      <w:pPr>
        <w:pStyle w:val="Heading1"/>
      </w:pPr>
      <w:r>
        <w:t>4. Risk minimization measures</w:t>
      </w:r>
    </w:p>
    <w:p>
      <w:pPr>
        <w:pStyle w:val="Heading2"/>
      </w:pPr>
      <w:r>
        <w:t>4.1 Saudi-specific routine risk minimization measures (required for all products)</w:t>
      </w:r>
    </w:p>
    <w:p>
      <w:r>
        <w:rPr>
          <w:i/>
          <w:color w:val="55676F"/>
        </w:rPr>
        <w:t>[See GVP v4.0, page 137]</w:t>
      </w:r>
    </w:p>
    <w:p>
      <w:r>
        <w:rPr>
          <w:b/>
        </w:rPr>
        <w:t>Table 2: Saudi-specific routine risk minimization measures: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Safety concern</w:t>
            </w:r>
          </w:p>
        </w:tc>
        <w:tc>
          <w:tcPr>
            <w:tcW w:type="dxa" w:w="2880"/>
          </w:tcPr>
          <w:p>
            <w:r>
              <w:rPr>
                <w:b/>
              </w:rPr>
              <w:t>Routine risk minimization activities</w:t>
            </w:r>
          </w:p>
        </w:tc>
        <w:tc>
          <w:tcPr>
            <w:tcW w:type="dxa" w:w="2880"/>
          </w:tcPr>
          <w:p>
            <w:r>
              <w:rPr>
                <w:b/>
              </w:rPr>
              <w:t>Differences between EU and Saudi routine risk minimization activities, with justification</w:t>
            </w:r>
          </w:p>
        </w:tc>
      </w:tr>
      <w:tr>
        <w:tc>
          <w:tcPr>
            <w:tcW w:type="dxa" w:w="2880"/>
          </w:tcPr>
          <w:p>
            <w:r>
              <w:t>Important identified risks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Important potential risks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Important missing information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r>
        <w:rPr>
          <w:i/>
          <w:color w:val="55676F"/>
        </w:rPr>
        <w:t>[See GVP v4.0, page 138]</w:t>
      </w:r>
    </w:p>
    <w:p>
      <w:pPr>
        <w:pStyle w:val="Heading2"/>
      </w:pPr>
      <w:r>
        <w:t>4.2 Additional risk minimization measures in Saudi Arabia</w:t>
      </w:r>
    </w:p>
    <w:p>
      <w:r>
        <w:rPr>
          <w:i/>
          <w:color w:val="55676F"/>
        </w:rPr>
        <w:t>[See GVP v4.0, page 139]</w:t>
      </w:r>
    </w:p>
    <w:p>
      <w:r>
        <w:rPr>
          <w:b/>
        </w:rPr>
        <w:t>Table 3: Additional risk minimization measures in Saudi Arabia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Type of additional risk minimization activity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Objectives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Rationale for the additional risk minimization activity: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Saudi-specific additional risk minimization measures?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r>
        <w:rPr>
          <w:i/>
          <w:color w:val="55676F"/>
        </w:rPr>
        <w:t>[See GVP v4.0, page 139]</w:t>
      </w:r>
    </w:p>
    <w:p>
      <w:pPr>
        <w:pStyle w:val="Heading2"/>
      </w:pPr>
      <w:r>
        <w:t>4.3 How additional risk minimization measures will be implemented in Saudi Arabia.</w:t>
      </w:r>
    </w:p>
    <w:p>
      <w:r>
        <w:rPr>
          <w:i/>
          <w:color w:val="55676F"/>
        </w:rPr>
        <w:t>[See GVP v4.0, page 140]</w:t>
      </w:r>
    </w:p>
    <w:p>
      <w:r>
        <w:rPr>
          <w:b/>
        </w:rPr>
        <w:t>Table 4: Implementation of additional risk minimization measures in Saudi Arabia (example)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Additional risk minimization measures</w:t>
            </w:r>
          </w:p>
        </w:tc>
        <w:tc>
          <w:tcPr>
            <w:tcW w:type="dxa" w:w="1440"/>
          </w:tcPr>
          <w:p>
            <w:r>
              <w:rPr>
                <w:b/>
              </w:rPr>
              <w:t>Target audience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Distribution scope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Risks addressed</w:t>
            </w:r>
          </w:p>
        </w:tc>
        <w:tc>
          <w:tcPr>
            <w:tcW w:type="dxa" w:w="1440"/>
          </w:tcPr>
          <w:p>
            <w:r>
              <w:rPr>
                <w:b/>
              </w:rPr>
              <w:t>Implementation details, including method(s) of dissemination</w:t>
            </w:r>
          </w:p>
        </w:tc>
        <w:tc>
          <w:tcPr>
            <w:tcW w:type="dxa" w:w="1440"/>
          </w:tcPr>
          <w:p>
            <w:r>
              <w:rPr>
                <w:b/>
              </w:rPr>
              <w:t>Distribution start date and frequency of repetition, if relevant)</w:t>
            </w:r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</w:tbl>
    <w:p>
      <w:r>
        <w:rPr>
          <w:i/>
          <w:color w:val="55676F"/>
        </w:rPr>
        <w:t>[See GVP v4.0, page 140]</w:t>
      </w:r>
    </w:p>
    <w:p>
      <w:pPr>
        <w:pStyle w:val="Heading2"/>
      </w:pPr>
      <w:r>
        <w:t>4.4. How additional risk minimization measures will be evaluated in Saudi Arabia</w:t>
      </w:r>
    </w:p>
    <w:p>
      <w:r>
        <w:rPr>
          <w:i/>
          <w:color w:val="55676F"/>
        </w:rPr>
        <w:t>[See GVP v4.0, page 141]</w:t>
      </w:r>
    </w:p>
    <w:p>
      <w:r>
        <w:rPr>
          <w:b/>
        </w:rPr>
        <w:t>Table 5: indicators for evaluating the effectiveness of risk minimization measures:*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Process indicators</w:t>
            </w:r>
          </w:p>
        </w:tc>
        <w:tc>
          <w:tcPr>
            <w:tcW w:type="dxa" w:w="4320"/>
          </w:tcPr>
          <w:p>
            <w:r>
              <w:rPr>
                <w:b/>
              </w:rPr>
              <w:t>Outcome indicators</w:t>
            </w:r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/>
        </w:tc>
      </w:tr>
    </w:tbl>
    <w:p>
      <w:r>
        <w:rPr>
          <w:i/>
          <w:color w:val="55676F"/>
        </w:rPr>
        <w:t>[See GVP v4.0, page 141]</w:t>
      </w:r>
    </w:p>
    <w:p>
      <w:r>
        <w:rPr>
          <w:b/>
        </w:rPr>
        <w:t>Table 6: Planning the evaluation of the effectiveness of risk minimization activities:*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Additional risk minimization activity</w:t>
            </w:r>
          </w:p>
        </w:tc>
        <w:tc>
          <w:tcPr>
            <w:tcW w:type="dxa" w:w="2880"/>
          </w:tcPr>
          <w:p>
            <w:r>
              <w:rPr>
                <w:b/>
              </w:rPr>
              <w:t>Evaluation plan and criteria for success</w:t>
            </w:r>
          </w:p>
        </w:tc>
        <w:tc>
          <w:tcPr>
            <w:tcW w:type="dxa" w:w="2880"/>
          </w:tcPr>
          <w:p>
            <w:r>
              <w:rPr>
                <w:b/>
              </w:rPr>
              <w:t>Timeframe for conduction and results submission</w:t>
            </w:r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r>
        <w:rPr>
          <w:i/>
          <w:color w:val="55676F"/>
        </w:rPr>
        <w:t>[See GVP v4.0, page 142]</w:t>
      </w:r>
    </w:p>
    <w:p>
      <w:pPr>
        <w:pStyle w:val="Heading1"/>
      </w:pPr>
      <w:r>
        <w:t>5. Appendix</w:t>
      </w:r>
    </w:p>
    <w:p>
      <w:pPr>
        <w:pStyle w:val="ListBullet"/>
      </w:pPr>
      <w:r>
        <w:t>&lt;Protocols of additional pharmacovigilance activities&gt;</w:t>
      </w:r>
    </w:p>
    <w:p>
      <w:pPr>
        <w:pStyle w:val="ListBullet"/>
      </w:pPr>
      <w:r>
        <w:t>&lt;Draft of additional risk minimization measures that /will be implemented in Saudi Arabia&gt;</w:t>
      </w:r>
    </w:p>
    <w:p>
      <w:pPr>
        <w:pStyle w:val="ListBullet"/>
      </w:pPr>
      <w:r>
        <w:t>&lt;Protocols for the evaluation of the effectiveness of risk minimization activities in Saudi Arabia&gt;</w:t>
      </w:r>
    </w:p>
    <w:p>
      <w:pPr>
        <w:pStyle w:val="ListBullet"/>
      </w:pPr>
      <w:r>
        <w:t>&lt;Other related documents, if any&gt;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